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Перечислите задачи «Цифровой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схемотехники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 xml:space="preserve">». История развития цифровой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схемотехники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>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системы счисления, её виды (позиционная, непозиционная системы счисления). Используемые символы в различных системах счисления.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Применение правил перевода целых и дробных чисел из одной системы счисления в другую.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основных понятий алгебры – логики: высказывание, аргумент, логический уровень, логический элемент, переключательная функция.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Демонстрация различных форм представления переключательных функций: словарная, табличная, алгебраическая (формульная), графическая.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переключательных функций одной переменной: УГО, таблица истинности, формулы, определение функции.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переключательных функций двух переменных: УГО, таблица истинности, формулы, определение функции.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Формулирование основных тождеств и законов алгебры – логики: переместительный, сочетательный, распределительный, закон двойного отрицания, закон инверсии.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дизъюнктивной и конъюнктивной нормальных форм представления функций алгебры – логики. СДНФ, СКНФ.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Минимизация логических функций с использованием тождеств алгебры – логики.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Минимизация логических функций с использованием карт Карно.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Анализ и синтез комбинационных схем, базис. Этапы построения схемы на элементах вычислительной техники.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дешифраторов. Синтез линейного дешифратора.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шифраторов. УГО. Синтез шифратора.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мультиплексоров, УГО. Мультиплексное дерево.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Исследование общих свойств </w:t>
      </w:r>
      <w:proofErr w:type="spellStart"/>
      <w:r w:rsidRPr="008D7AEE">
        <w:rPr>
          <w:rFonts w:ascii="Times New Roman" w:eastAsia="Gulim" w:hAnsi="Times New Roman"/>
          <w:sz w:val="28"/>
          <w:szCs w:val="28"/>
        </w:rPr>
        <w:t>демультиплексоров</w:t>
      </w:r>
      <w:proofErr w:type="spellEnd"/>
      <w:r w:rsidRPr="008D7AEE">
        <w:rPr>
          <w:rFonts w:ascii="Times New Roman" w:eastAsia="Gulim" w:hAnsi="Times New Roman"/>
          <w:sz w:val="28"/>
          <w:szCs w:val="28"/>
        </w:rPr>
        <w:t>. УГО.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сумматоров. Классификация сумматоров.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Исследование общих свойств преобразователей кодов: назначение, УГО, виды.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lastRenderedPageBreak/>
        <w:t>Исследование общих свойств триггеров. Виды триггеров. Классификация триггеров.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Принцип действия асинхронного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RS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синхронного RS – триггера.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Принцип действия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JK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</w:t>
      </w:r>
      <w:r w:rsidRPr="008D7AEE">
        <w:rPr>
          <w:rFonts w:ascii="Times New Roman" w:eastAsia="Gulim" w:hAnsi="Times New Roman"/>
          <w:sz w:val="28"/>
          <w:szCs w:val="28"/>
          <w:lang w:val="en-US"/>
        </w:rPr>
        <w:t>D</w:t>
      </w:r>
      <w:r w:rsidRPr="008D7AEE">
        <w:rPr>
          <w:rFonts w:ascii="Times New Roman" w:eastAsia="Gulim" w:hAnsi="Times New Roman"/>
          <w:sz w:val="28"/>
          <w:szCs w:val="28"/>
        </w:rPr>
        <w:t xml:space="preserve"> – триггера, Т – триггера.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Исследование общих свойств регистров. Классификация регистров.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 параллельного, последовательного и реверсивного регистров.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Исследование общих свойств счетчиков. Классификация счетчиков.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 асинхронного и синхронного счетчиков.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Определение внутренней и внешней памяти. Классификация ЗУ.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Классификация схем памяти. Характеристика статических запоминающих устройств.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 xml:space="preserve"> Описание построения запоминающих устройств: матричный и словарный принципы организации запоминающих устройств.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видов программирования ПЗУ: ПЗУМ, ППЗУ, РПЗУ.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основных этапов преобразования аналогового сигнала в цифровой. Понятие об аналоговом, цифровом и импульсных сигналах.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действия, основные параметры АЦП.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Принцип действия, основные параметры ЦАП.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Описание программируемых логических матриц, назначение ПЛМ.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обозначение, основные параметры, маркировка резисторов.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обозначение, основные параметры, маркировка конденсаторов.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технологии изготовления полупроводниковых диодов.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Основные параметры, применение, маркировка полупроводниковых диодов.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технологии изготовления полупроводниковых транзисторов.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Основные параметры, применение, маркировка полупроводниковых транзисторов.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основные параметры, маркировка стабилитронов и тиристоров.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Классификация, основные параметры интегральных микросхем.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Маркировка и применение интегральных микросхем.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lastRenderedPageBreak/>
        <w:t>Конструкция, структура, основные параметры, маркировка светоизлучающих диодов, оптронов.</w:t>
      </w:r>
    </w:p>
    <w:p w:rsidR="00474375" w:rsidRPr="008D7AEE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Конструкция, структура, основные параметры, маркировка фотоэлектрических приборов.</w:t>
      </w:r>
    </w:p>
    <w:p w:rsidR="00474375" w:rsidRDefault="00474375" w:rsidP="00474375">
      <w:pPr>
        <w:numPr>
          <w:ilvl w:val="0"/>
          <w:numId w:val="1"/>
        </w:numPr>
        <w:tabs>
          <w:tab w:val="left" w:pos="635"/>
        </w:tabs>
        <w:spacing w:after="0"/>
        <w:jc w:val="both"/>
        <w:rPr>
          <w:rFonts w:ascii="Times New Roman" w:eastAsia="Gulim" w:hAnsi="Times New Roman"/>
          <w:sz w:val="28"/>
          <w:szCs w:val="28"/>
        </w:rPr>
      </w:pPr>
      <w:r w:rsidRPr="008D7AEE">
        <w:rPr>
          <w:rFonts w:ascii="Times New Roman" w:eastAsia="Gulim" w:hAnsi="Times New Roman"/>
          <w:sz w:val="28"/>
          <w:szCs w:val="28"/>
        </w:rPr>
        <w:t>Маркировка и особенности применения элементов оптоэлектроники.</w:t>
      </w:r>
    </w:p>
    <w:p w:rsidR="006919DF" w:rsidRDefault="006919DF">
      <w:bookmarkStart w:id="0" w:name="_GoBack"/>
      <w:bookmarkEnd w:id="0"/>
    </w:p>
    <w:sectPr w:rsidR="006919D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ulim">
    <w:altName w:val="굴림"/>
    <w:panose1 w:val="020B0600000101010101"/>
    <w:charset w:val="81"/>
    <w:family w:val="roman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E0A52"/>
    <w:multiLevelType w:val="hybridMultilevel"/>
    <w:tmpl w:val="143472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375"/>
    <w:rsid w:val="00474375"/>
    <w:rsid w:val="0069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958770-F1C0-44FF-BEDF-A9A7ECADA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375"/>
    <w:pPr>
      <w:spacing w:after="200" w:line="276" w:lineRule="auto"/>
    </w:pPr>
    <w:rPr>
      <w:rFonts w:ascii="Calibri" w:eastAsia="Times New Roman" w:hAnsi="Calibri" w:cs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2019-12-19T08:54:00Z</dcterms:created>
  <dcterms:modified xsi:type="dcterms:W3CDTF">2019-12-19T08:54:00Z</dcterms:modified>
</cp:coreProperties>
</file>